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61" w:rsidRPr="0029101D" w:rsidRDefault="00557A61" w:rsidP="00557A61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بسم الله الرحمن الرحیم.</w:t>
      </w:r>
    </w:p>
    <w:p w:rsidR="00152670" w:rsidRPr="0029101D" w:rsidRDefault="00557A61" w:rsidP="00557A61">
      <w:pPr>
        <w:rPr>
          <w:rFonts w:ascii="Traditional Arabic" w:hAnsi="Traditional Arabic" w:cs="Traditional Arabic"/>
          <w:rtl/>
        </w:rPr>
      </w:pPr>
      <w:r w:rsidRPr="00237D0B">
        <w:rPr>
          <w:rFonts w:ascii="Traditional Arabic" w:hAnsi="Traditional Arabic" w:cs="Traditional Arabic" w:hint="cs"/>
          <w:b/>
          <w:bCs/>
          <w:rtl/>
          <w:lang w:bidi="fa-IR"/>
        </w:rPr>
        <w:t>دليل سوّم بر حجيّت خبر واحد، اجماع علماى اماميّه است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و محلّ انعقاد اجماع، خبر واحدى است كه ثقة باشد</w:t>
      </w:r>
      <w:r w:rsidRPr="0029101D">
        <w:rPr>
          <w:rFonts w:ascii="Traditional Arabic" w:hAnsi="Traditional Arabic" w:cs="Traditional Arabic" w:hint="cs"/>
          <w:rtl/>
        </w:rPr>
        <w:t>.</w:t>
      </w:r>
    </w:p>
    <w:p w:rsidR="00C323B0" w:rsidRPr="0029101D" w:rsidRDefault="00557A61" w:rsidP="00AE7EBF">
      <w:pPr>
        <w:rPr>
          <w:rFonts w:ascii="Traditional Arabic" w:hAnsi="Traditional Arabic" w:cs="Traditional Arabic"/>
          <w:color w:val="FF0000"/>
          <w:rtl/>
        </w:rPr>
      </w:pPr>
      <w:r w:rsidRPr="0029101D">
        <w:rPr>
          <w:rFonts w:ascii="Traditional Arabic" w:hAnsi="Traditional Arabic" w:cs="Traditional Arabic" w:hint="cs"/>
          <w:color w:val="FF0000"/>
          <w:rtl/>
        </w:rPr>
        <w:t>از بزرگان این افراد قائل به اجماع</w:t>
      </w:r>
      <w:bookmarkStart w:id="0" w:name="_GoBack"/>
      <w:bookmarkEnd w:id="0"/>
      <w:r w:rsidRPr="0029101D">
        <w:rPr>
          <w:rFonts w:ascii="Traditional Arabic" w:hAnsi="Traditional Arabic" w:cs="Traditional Arabic" w:hint="cs"/>
          <w:color w:val="FF0000"/>
          <w:rtl/>
        </w:rPr>
        <w:t xml:space="preserve"> گردیده اند:</w:t>
      </w:r>
    </w:p>
    <w:p w:rsidR="00AE7EBF" w:rsidRPr="0029101D" w:rsidRDefault="00471524" w:rsidP="00AE7EBF">
      <w:pPr>
        <w:rPr>
          <w:rFonts w:ascii="Traditional Arabic" w:hAnsi="Traditional Arabic" w:cs="Traditional Arabic"/>
          <w:rtl/>
          <w:lang w:bidi="fa-IR"/>
        </w:rPr>
      </w:pPr>
      <w:hyperlink r:id="rId7" w:history="1">
        <w:r w:rsidR="00AE7EBF"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مرحوم شیخ طوسی</w:t>
        </w:r>
      </w:hyperlink>
    </w:p>
    <w:p w:rsidR="00557A61" w:rsidRPr="0029101D" w:rsidRDefault="00471524" w:rsidP="00AE7EBF">
      <w:pPr>
        <w:rPr>
          <w:rFonts w:ascii="Traditional Arabic" w:hAnsi="Traditional Arabic" w:cs="Traditional Arabic"/>
          <w:rtl/>
          <w:lang w:bidi="fa-IR"/>
        </w:rPr>
      </w:pPr>
      <w:hyperlink r:id="rId8" w:history="1">
        <w:r w:rsidR="00557A61"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مرحوم سيّدبن طاوس</w:t>
        </w:r>
      </w:hyperlink>
    </w:p>
    <w:p w:rsidR="00557A61" w:rsidRPr="0029101D" w:rsidRDefault="00471524" w:rsidP="00AE7EBF">
      <w:pPr>
        <w:rPr>
          <w:rFonts w:ascii="Traditional Arabic" w:hAnsi="Traditional Arabic" w:cs="Traditional Arabic"/>
          <w:rtl/>
          <w:lang w:bidi="fa-IR"/>
        </w:rPr>
      </w:pPr>
      <w:hyperlink r:id="rId9" w:history="1">
        <w:r w:rsidR="00B77EF5"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 xml:space="preserve">علّامه حلّى </w:t>
        </w:r>
      </w:hyperlink>
    </w:p>
    <w:p w:rsidR="00FF39BC" w:rsidRPr="0029101D" w:rsidRDefault="00471524" w:rsidP="00F37E5F">
      <w:pPr>
        <w:rPr>
          <w:rFonts w:ascii="Traditional Arabic" w:hAnsi="Traditional Arabic" w:cs="Traditional Arabic"/>
          <w:rtl/>
        </w:rPr>
      </w:pPr>
      <w:hyperlink r:id="rId10" w:history="1">
        <w:r w:rsidR="00557A61"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محدّث مجلسى</w:t>
        </w:r>
      </w:hyperlink>
    </w:p>
    <w:p w:rsidR="00C323B0" w:rsidRPr="0029101D" w:rsidRDefault="00C323B0" w:rsidP="00A726C8">
      <w:pPr>
        <w:rPr>
          <w:rFonts w:ascii="Traditional Arabic" w:hAnsi="Traditional Arabic" w:cs="Traditional Arabic"/>
          <w:color w:val="FF0000"/>
          <w:rtl/>
        </w:rPr>
      </w:pPr>
      <w:r w:rsidRPr="0029101D">
        <w:rPr>
          <w:rFonts w:ascii="Traditional Arabic" w:hAnsi="Traditional Arabic" w:cs="Traditional Arabic" w:hint="cs"/>
          <w:color w:val="FF0000"/>
          <w:rtl/>
        </w:rPr>
        <w:t xml:space="preserve">مرحوم </w:t>
      </w:r>
      <w:r w:rsidR="00FF39BC" w:rsidRPr="0029101D">
        <w:rPr>
          <w:rFonts w:ascii="Traditional Arabic" w:hAnsi="Traditional Arabic" w:cs="Traditional Arabic" w:hint="cs"/>
          <w:color w:val="FF0000"/>
          <w:rtl/>
        </w:rPr>
        <w:t>شیخ طوسی</w:t>
      </w:r>
      <w:r w:rsidRPr="0029101D">
        <w:rPr>
          <w:rFonts w:ascii="Traditional Arabic" w:hAnsi="Traditional Arabic" w:cs="Traditional Arabic" w:hint="cs"/>
          <w:color w:val="FF0000"/>
          <w:rtl/>
        </w:rPr>
        <w:t xml:space="preserve"> در کتاب عده پنج شرط برای حجیت خبر واحد ذکر نموده اند</w:t>
      </w:r>
      <w:r w:rsidR="00FF39BC" w:rsidRPr="0029101D">
        <w:rPr>
          <w:rStyle w:val="a6"/>
          <w:rFonts w:ascii="Traditional Arabic" w:hAnsi="Traditional Arabic" w:cs="Traditional Arabic"/>
          <w:color w:val="FF0000"/>
          <w:rtl/>
        </w:rPr>
        <w:footnoteReference w:id="1"/>
      </w:r>
      <w:r w:rsidRPr="0029101D">
        <w:rPr>
          <w:rFonts w:ascii="Traditional Arabic" w:hAnsi="Traditional Arabic" w:cs="Traditional Arabic" w:hint="cs"/>
          <w:color w:val="FF0000"/>
          <w:rtl/>
        </w:rPr>
        <w:t>:</w:t>
      </w:r>
    </w:p>
    <w:p w:rsidR="00FF39BC" w:rsidRPr="0029101D" w:rsidRDefault="00FF39BC" w:rsidP="00FF39BC">
      <w:pPr>
        <w:rPr>
          <w:rFonts w:ascii="Traditional Arabic" w:hAnsi="Traditional Arabic" w:cs="Traditional Arabic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1. راوى بايد امامى و معتقد بولايت ائمّه عليهم السلام باشد.</w:t>
      </w:r>
    </w:p>
    <w:p w:rsidR="00FF39BC" w:rsidRPr="0029101D" w:rsidRDefault="00FF39BC" w:rsidP="00FF39BC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 xml:space="preserve">2. خبرى را </w:t>
      </w:r>
      <w:r w:rsidR="009F7C05" w:rsidRPr="0029101D">
        <w:rPr>
          <w:rFonts w:ascii="Traditional Arabic" w:hAnsi="Traditional Arabic" w:cs="Traditional Arabic" w:hint="cs"/>
          <w:rtl/>
          <w:lang w:bidi="fa-IR"/>
        </w:rPr>
        <w:t>كه نقل مى‏كند بايد از پيامبر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و يا از ائمّه عليهم السلام باشد، بنابراين خبر واحدى كه از ابو حنيفه و يا از شيوخ ثلاثه نقل شود اعتبارى ندارد.</w:t>
      </w:r>
    </w:p>
    <w:p w:rsidR="00FF39BC" w:rsidRPr="0029101D" w:rsidRDefault="00FF39BC" w:rsidP="007B19F9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 xml:space="preserve">3. راوى از لحاظ </w:t>
      </w:r>
      <w:r w:rsidR="009F7C05" w:rsidRPr="0029101D">
        <w:rPr>
          <w:rFonts w:ascii="Traditional Arabic" w:hAnsi="Traditional Arabic" w:cs="Traditional Arabic" w:hint="cs"/>
          <w:rtl/>
          <w:lang w:bidi="fa-IR"/>
        </w:rPr>
        <w:t>نقل و ضبط روايت، مورد طعن نباشد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(يعنى </w:t>
      </w:r>
      <w:r w:rsidR="007B19F9" w:rsidRPr="0029101D">
        <w:rPr>
          <w:rFonts w:ascii="Traditional Arabic" w:hAnsi="Traditional Arabic" w:cs="Traditional Arabic" w:hint="cs"/>
          <w:rtl/>
          <w:lang w:bidi="fa-IR"/>
        </w:rPr>
        <w:t>از كسانى باشد كه قليل النسيان و الخطاء بوده و كثير الحفظند</w:t>
      </w:r>
      <w:r w:rsidR="009F7C05" w:rsidRPr="0029101D">
        <w:rPr>
          <w:rFonts w:ascii="Traditional Arabic" w:hAnsi="Traditional Arabic" w:cs="Traditional Arabic" w:hint="cs"/>
          <w:rtl/>
          <w:lang w:bidi="fa-IR"/>
        </w:rPr>
        <w:t>).</w:t>
      </w:r>
    </w:p>
    <w:p w:rsidR="00FF39BC" w:rsidRPr="0029101D" w:rsidRDefault="00FF39BC" w:rsidP="00FF39BC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4. يكون سديدا فى نقله ... راوى در نقل روايت از خطا و اشتباه به دور باشد.</w:t>
      </w:r>
    </w:p>
    <w:p w:rsidR="00FF39BC" w:rsidRPr="0029101D" w:rsidRDefault="00FF39BC" w:rsidP="00FF39BC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5. شيخ طوسى شرط پنجمى را ايضا ذكر نموده است كه قرينه برطبق مضمون روايت و خبر واحد نباشد</w:t>
      </w:r>
      <w:r w:rsidR="00F92DB4" w:rsidRPr="0029101D">
        <w:rPr>
          <w:rFonts w:ascii="Traditional Arabic" w:hAnsi="Traditional Arabic" w:cs="Traditional Arabic" w:hint="cs"/>
          <w:rtl/>
          <w:lang w:bidi="fa-IR"/>
        </w:rPr>
        <w:t>،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چه آنكه اگر قرينه باشد، خبر واحد مفيد علم مى‏شود و از محلّ بحث خارج خواهد بود.</w:t>
      </w:r>
    </w:p>
    <w:p w:rsidR="00B41FB3" w:rsidRPr="0029101D" w:rsidRDefault="00B41FB3" w:rsidP="00FF39BC">
      <w:pPr>
        <w:rPr>
          <w:rFonts w:ascii="Traditional Arabic" w:hAnsi="Traditional Arabic" w:cs="Traditional Arabic"/>
          <w:rtl/>
          <w:lang w:bidi="fa-IR"/>
        </w:rPr>
      </w:pPr>
    </w:p>
    <w:p w:rsidR="00C323B0" w:rsidRPr="0029101D" w:rsidRDefault="00A726C8" w:rsidP="00C323B0">
      <w:pPr>
        <w:rPr>
          <w:rFonts w:ascii="Traditional Arabic" w:hAnsi="Traditional Arabic" w:cs="Traditional Arabic"/>
          <w:color w:val="FF0000"/>
          <w:rtl/>
        </w:rPr>
      </w:pPr>
      <w:r w:rsidRPr="0029101D">
        <w:rPr>
          <w:rFonts w:ascii="Traditional Arabic" w:hAnsi="Traditional Arabic" w:cs="Traditional Arabic" w:hint="cs"/>
          <w:color w:val="FF0000"/>
          <w:rtl/>
        </w:rPr>
        <w:lastRenderedPageBreak/>
        <w:t>در نقطه مقابل این بزرگواران عده دیگری از بزرگان ادعای اجماع امامیه بر عدم حجیت خبر واحد نموده اند:</w:t>
      </w:r>
    </w:p>
    <w:p w:rsidR="00A726C8" w:rsidRPr="0029101D" w:rsidRDefault="00236AA7" w:rsidP="00A726C8">
      <w:pPr>
        <w:rPr>
          <w:rFonts w:ascii="Traditional Arabic" w:hAnsi="Traditional Arabic" w:cs="Traditional Arabic"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 xml:space="preserve">1- </w:t>
      </w:r>
      <w:hyperlink r:id="rId11" w:history="1">
        <w:r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سيّد مرتضى</w:t>
        </w:r>
        <w:r w:rsidR="00A726C8"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(ره)</w:t>
        </w:r>
      </w:hyperlink>
      <w:r w:rsidR="00A726C8" w:rsidRPr="0029101D">
        <w:rPr>
          <w:rFonts w:ascii="Traditional Arabic" w:hAnsi="Traditional Arabic" w:cs="Traditional Arabic" w:hint="cs"/>
          <w:rtl/>
          <w:lang w:bidi="fa-IR"/>
        </w:rPr>
        <w:t xml:space="preserve"> خبر واحد را همانند «قياس» قرار داده و فرموده: همان‏طورى كه ترك عمل به قياس از مسلّمات مذهب شيعه است ترك عمل به خبر واحد ايضا چنين مى‏باشد.</w:t>
      </w:r>
    </w:p>
    <w:p w:rsidR="00A726C8" w:rsidRPr="0029101D" w:rsidRDefault="00A726C8" w:rsidP="00A726C8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 xml:space="preserve">2- </w:t>
      </w:r>
      <w:hyperlink r:id="rId12" w:history="1">
        <w:r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ابن ادريس</w:t>
        </w:r>
      </w:hyperlink>
      <w:r w:rsidRPr="0029101D">
        <w:rPr>
          <w:rFonts w:ascii="Traditional Arabic" w:hAnsi="Traditional Arabic" w:cs="Traditional Arabic" w:hint="cs"/>
          <w:rtl/>
          <w:lang w:bidi="fa-IR"/>
        </w:rPr>
        <w:t xml:space="preserve"> در كتاب سرائر، كلامى را در رابطه با عدم عمل به خبر واحد از سيّد مرتضى نقل نموده و تبعا للسّيّد، اين سخن را كرارا بازگو نموده است: (انّ الخبر الواحد لا يوجب علما و لا عملا) «خبر واحد نه مفيد علم است و نه مى‏تواند زيربناى عمل باشد» يعنى عمل بايد مبتنى بر علم و يقين باشد و خبر واحد بخاطر عدم افاده علم، مبناى عمل نمى‏تواند واقع شود.</w:t>
      </w:r>
    </w:p>
    <w:p w:rsidR="00A726C8" w:rsidRPr="0029101D" w:rsidRDefault="00A726C8" w:rsidP="00236AA7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 xml:space="preserve">3- از </w:t>
      </w:r>
      <w:hyperlink r:id="rId13" w:history="1">
        <w:r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شيخ طبرسى</w:t>
        </w:r>
      </w:hyperlink>
      <w:r w:rsidRPr="0029101D">
        <w:rPr>
          <w:rFonts w:ascii="Traditional Arabic" w:hAnsi="Traditional Arabic" w:cs="Traditional Arabic" w:hint="cs"/>
          <w:rtl/>
          <w:lang w:bidi="fa-IR"/>
        </w:rPr>
        <w:t xml:space="preserve"> صاحب تفسير مجمع البيان نقل شده است كه ايشان بالصّراحة</w:t>
      </w:r>
      <w:r w:rsidR="00236AA7" w:rsidRPr="0029101D">
        <w:rPr>
          <w:rFonts w:ascii="Traditional Arabic" w:hAnsi="Traditional Arabic" w:cs="Traditional Arabic" w:hint="cs"/>
          <w:rtl/>
          <w:lang w:bidi="fa-IR"/>
        </w:rPr>
        <w:t xml:space="preserve"> بر عدم حجيّت خبر واحد نقل اجماع نموده است‏.</w:t>
      </w:r>
    </w:p>
    <w:p w:rsidR="00F37E5F" w:rsidRPr="00237D0B" w:rsidRDefault="00F37E5F" w:rsidP="00E028B3">
      <w:pPr>
        <w:rPr>
          <w:rFonts w:ascii="Traditional Arabic" w:hAnsi="Traditional Arabic" w:cs="Traditional Arabic"/>
          <w:color w:val="FF0000"/>
        </w:rPr>
      </w:pPr>
      <w:r w:rsidRPr="0029101D">
        <w:rPr>
          <w:rFonts w:ascii="Traditional Arabic" w:hAnsi="Traditional Arabic" w:cs="Traditional Arabic" w:hint="cs"/>
          <w:rtl/>
        </w:rPr>
        <w:t xml:space="preserve">در این بحث 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آنچه كه باعث تعجّب و حيرت شده است اين است كه </w:t>
      </w:r>
      <w:r w:rsidRPr="00237D0B">
        <w:rPr>
          <w:rFonts w:ascii="Traditional Arabic" w:hAnsi="Traditional Arabic" w:cs="Traditional Arabic" w:hint="cs"/>
          <w:color w:val="FF0000"/>
          <w:rtl/>
          <w:lang w:bidi="fa-IR"/>
        </w:rPr>
        <w:t xml:space="preserve">شيخ طوسى و سيّد مرتضى </w:t>
      </w:r>
      <w:r w:rsidRPr="0029101D">
        <w:rPr>
          <w:rFonts w:ascii="Traditional Arabic" w:hAnsi="Traditional Arabic" w:cs="Traditional Arabic" w:hint="cs"/>
          <w:rtl/>
          <w:lang w:bidi="fa-IR"/>
        </w:rPr>
        <w:t>هم‏عصر بودند</w:t>
      </w:r>
      <w:r w:rsidR="00E028B3" w:rsidRPr="0029101D">
        <w:rPr>
          <w:rFonts w:ascii="Traditional Arabic" w:hAnsi="Traditional Arabic" w:cs="Traditional Arabic" w:hint="cs"/>
          <w:rtl/>
          <w:lang w:bidi="fa-IR"/>
        </w:rPr>
        <w:t>(و مرحوم شیخ مدتی از محضر سید تلمذ نموده است)؛ و این دو بزرگوار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در مسائل فقهى و اصولى مخصوصا نسبت به مذهب شيعه تخصّص داشته‌اند</w:t>
      </w:r>
      <w:r w:rsidR="00E028B3" w:rsidRPr="0029101D">
        <w:rPr>
          <w:rFonts w:ascii="Traditional Arabic" w:hAnsi="Traditional Arabic" w:cs="Traditional Arabic" w:hint="cs"/>
          <w:rtl/>
          <w:lang w:bidi="fa-IR"/>
        </w:rPr>
        <w:t>، پس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237D0B">
        <w:rPr>
          <w:rFonts w:ascii="Traditional Arabic" w:hAnsi="Traditional Arabic" w:cs="Traditional Arabic" w:hint="cs"/>
          <w:color w:val="FF0000"/>
          <w:rtl/>
          <w:lang w:bidi="fa-IR"/>
        </w:rPr>
        <w:t>چگونه</w:t>
      </w:r>
      <w:r w:rsidR="00E028B3" w:rsidRPr="00237D0B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Pr="00237D0B">
        <w:rPr>
          <w:rFonts w:ascii="Traditional Arabic" w:hAnsi="Traditional Arabic" w:cs="Traditional Arabic" w:hint="cs"/>
          <w:color w:val="FF0000"/>
          <w:rtl/>
          <w:lang w:bidi="fa-IR"/>
        </w:rPr>
        <w:t>در مورد حجيّت خبر واحد در دو نقطه مقابل هم، ادّعاى اجماع نموده‏اند؟!</w:t>
      </w:r>
    </w:p>
    <w:p w:rsidR="00F37E5F" w:rsidRPr="0029101D" w:rsidRDefault="00F37E5F" w:rsidP="00F37E5F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و بدين لحاظ عده‏اى در صدد برآمده‏اند كه بين گفته‏هاى آن دو بزرگوار جمع كنند، و ثابت نمايند كه آن‏ها اختلاف مبنايى نداشته‏اند و در حقيقت هر دو، نظر واحدى‏ دارند.</w:t>
      </w:r>
    </w:p>
    <w:p w:rsidR="00156BC7" w:rsidRPr="0029101D" w:rsidRDefault="00156BC7" w:rsidP="00156BC7">
      <w:pPr>
        <w:rPr>
          <w:rFonts w:ascii="Traditional Arabic" w:hAnsi="Traditional Arabic" w:cs="Traditional Arabic"/>
          <w:lang w:bidi="fa-IR"/>
        </w:rPr>
      </w:pPr>
      <w:r w:rsidRPr="00237D0B">
        <w:rPr>
          <w:rFonts w:ascii="Traditional Arabic" w:hAnsi="Traditional Arabic" w:cs="Traditional Arabic" w:hint="cs"/>
          <w:color w:val="FF0000"/>
          <w:rtl/>
          <w:lang w:bidi="fa-IR"/>
        </w:rPr>
        <w:t>شيخ انصارى وجوهى را در رابطه با جمع بين سخن شيخ طوسى و سيّد مرتضى حكايت نموده است</w:t>
      </w:r>
      <w:r w:rsidRPr="0029101D">
        <w:rPr>
          <w:rFonts w:ascii="Traditional Arabic" w:hAnsi="Traditional Arabic" w:cs="Traditional Arabic" w:hint="cs"/>
          <w:rtl/>
          <w:lang w:bidi="fa-IR"/>
        </w:rPr>
        <w:t>:</w:t>
      </w:r>
    </w:p>
    <w:p w:rsidR="00156BC7" w:rsidRPr="0029101D" w:rsidRDefault="00156BC7" w:rsidP="003359B4">
      <w:pPr>
        <w:rPr>
          <w:rFonts w:ascii="Traditional Arabic" w:hAnsi="Traditional Arabic" w:cs="Traditional Arabic"/>
          <w:rtl/>
          <w:lang w:bidi="fa-IR"/>
        </w:rPr>
      </w:pPr>
      <w:r w:rsidRPr="002A7B18">
        <w:rPr>
          <w:rFonts w:ascii="Traditional Arabic" w:hAnsi="Traditional Arabic" w:cs="Traditional Arabic" w:hint="cs"/>
          <w:color w:val="FF0000"/>
          <w:rtl/>
          <w:lang w:bidi="fa-IR"/>
        </w:rPr>
        <w:t>وجه اوّل: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منظور سيّد مرتضى از خبر واحد كه ادّعاى اجماع بر عدم حجيّت آن نموده است خبر واحدى است كه از طريق مخالفين(غير امامى) نقل شده باشد 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>کمااینکه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شيخ طوسى 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 xml:space="preserve">نیز خبرى را كه راوى آن غير امامى ‏باشد را </w:t>
      </w:r>
      <w:r w:rsidRPr="0029101D">
        <w:rPr>
          <w:rFonts w:ascii="Traditional Arabic" w:hAnsi="Traditional Arabic" w:cs="Traditional Arabic" w:hint="cs"/>
          <w:rtl/>
          <w:lang w:bidi="fa-IR"/>
        </w:rPr>
        <w:t>حجّت نمى‏داند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>.</w:t>
      </w:r>
    </w:p>
    <w:p w:rsidR="00156BC7" w:rsidRPr="0029101D" w:rsidRDefault="00156BC7" w:rsidP="003359B4">
      <w:pPr>
        <w:rPr>
          <w:rFonts w:ascii="Traditional Arabic" w:hAnsi="Traditional Arabic" w:cs="Traditional Arabic"/>
          <w:rtl/>
          <w:lang w:bidi="fa-IR"/>
        </w:rPr>
      </w:pPr>
      <w:r w:rsidRPr="002A7B18">
        <w:rPr>
          <w:rFonts w:ascii="Traditional Arabic" w:hAnsi="Traditional Arabic" w:cs="Traditional Arabic" w:hint="cs"/>
          <w:color w:val="FF0000"/>
          <w:rtl/>
          <w:lang w:bidi="fa-IR"/>
        </w:rPr>
        <w:t>وجه دوّم: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در </w:t>
      </w:r>
      <w:r w:rsidR="000C0E75" w:rsidRPr="0029101D">
        <w:rPr>
          <w:rFonts w:ascii="Traditional Arabic" w:hAnsi="Traditional Arabic" w:cs="Traditional Arabic" w:hint="cs"/>
          <w:rtl/>
          <w:lang w:bidi="fa-IR"/>
        </w:rPr>
        <w:t>سابق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0C0E75" w:rsidRPr="0029101D">
        <w:rPr>
          <w:rFonts w:ascii="Traditional Arabic" w:hAnsi="Traditional Arabic" w:cs="Traditional Arabic" w:hint="cs"/>
          <w:rtl/>
          <w:lang w:bidi="fa-IR"/>
        </w:rPr>
        <w:t>علما دفاتر و كتبى داشتند بنام "اصول المعمول بها"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كه در</w:t>
      </w:r>
      <w:r w:rsidR="000C0E75" w:rsidRPr="0029101D">
        <w:rPr>
          <w:rFonts w:ascii="Traditional Arabic" w:hAnsi="Traditional Arabic" w:cs="Traditional Arabic" w:hint="cs"/>
          <w:rtl/>
          <w:lang w:bidi="fa-IR"/>
        </w:rPr>
        <w:t xml:space="preserve"> آنها روايات و گفته‏هاى معصومين </w:t>
      </w:r>
      <w:r w:rsidRPr="0029101D">
        <w:rPr>
          <w:rFonts w:ascii="Traditional Arabic" w:hAnsi="Traditional Arabic" w:cs="Traditional Arabic" w:hint="cs"/>
          <w:rtl/>
          <w:lang w:bidi="fa-IR"/>
        </w:rPr>
        <w:t>ع</w:t>
      </w:r>
      <w:r w:rsidR="000C0E75" w:rsidRPr="0029101D">
        <w:rPr>
          <w:rFonts w:ascii="Traditional Arabic" w:hAnsi="Traditional Arabic" w:cs="Traditional Arabic" w:hint="cs"/>
          <w:rtl/>
          <w:lang w:bidi="fa-IR"/>
        </w:rPr>
        <w:t>لیهم‌السلام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ثبت بود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>ه،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0C0E75" w:rsidRPr="0029101D">
        <w:rPr>
          <w:rFonts w:ascii="Traditional Arabic" w:hAnsi="Traditional Arabic" w:cs="Traditional Arabic" w:hint="cs"/>
          <w:rtl/>
          <w:lang w:bidi="fa-IR"/>
        </w:rPr>
        <w:t xml:space="preserve">که </w:t>
      </w:r>
      <w:r w:rsidRPr="0029101D">
        <w:rPr>
          <w:rFonts w:ascii="Traditional Arabic" w:hAnsi="Traditional Arabic" w:cs="Traditional Arabic" w:hint="cs"/>
          <w:rtl/>
          <w:lang w:bidi="fa-IR"/>
        </w:rPr>
        <w:t>روايات</w:t>
      </w:r>
      <w:r w:rsidR="000C0E75" w:rsidRPr="0029101D">
        <w:rPr>
          <w:rFonts w:ascii="Traditional Arabic" w:hAnsi="Traditional Arabic" w:cs="Traditional Arabic" w:hint="cs"/>
          <w:rtl/>
          <w:lang w:bidi="fa-IR"/>
        </w:rPr>
        <w:t xml:space="preserve"> این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اصول مزبور، مورد اعتماد و وثوق همگان بود</w:t>
      </w:r>
      <w:r w:rsidR="000C0E75" w:rsidRPr="0029101D">
        <w:rPr>
          <w:rFonts w:ascii="Traditional Arabic" w:hAnsi="Traditional Arabic" w:cs="Traditional Arabic" w:hint="cs"/>
          <w:rtl/>
          <w:lang w:bidi="fa-IR"/>
        </w:rPr>
        <w:t>ه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 xml:space="preserve">. مرحوم شیخ انصاری 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lastRenderedPageBreak/>
        <w:t xml:space="preserve">میفرماید: </w:t>
      </w:r>
      <w:r w:rsidRPr="0029101D">
        <w:rPr>
          <w:rFonts w:ascii="Traditional Arabic" w:hAnsi="Traditional Arabic" w:cs="Traditional Arabic" w:hint="cs"/>
          <w:rtl/>
          <w:lang w:bidi="fa-IR"/>
        </w:rPr>
        <w:t>منظور سيّد مرتضى از خبر واحدى كه‏ حجيّ</w:t>
      </w:r>
      <w:r w:rsidR="000C0E75" w:rsidRPr="0029101D">
        <w:rPr>
          <w:rFonts w:ascii="Traditional Arabic" w:hAnsi="Traditional Arabic" w:cs="Traditional Arabic" w:hint="cs"/>
          <w:rtl/>
          <w:lang w:bidi="fa-IR"/>
        </w:rPr>
        <w:t>ت ندارد خبرى است كه مأخوذ از آن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(اصول) نباشد 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>کمااینکه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شيخ طوسى هم چنين خبرى را حجّت نمى‏داند.</w:t>
      </w:r>
    </w:p>
    <w:p w:rsidR="00156BC7" w:rsidRPr="0029101D" w:rsidRDefault="00156BC7" w:rsidP="003359B4">
      <w:pPr>
        <w:rPr>
          <w:rFonts w:ascii="Traditional Arabic" w:hAnsi="Traditional Arabic" w:cs="Traditional Arabic"/>
          <w:rtl/>
          <w:lang w:bidi="fa-IR"/>
        </w:rPr>
      </w:pPr>
      <w:r w:rsidRPr="002A7B18">
        <w:rPr>
          <w:rFonts w:ascii="Traditional Arabic" w:hAnsi="Traditional Arabic" w:cs="Traditional Arabic" w:hint="cs"/>
          <w:color w:val="FF0000"/>
          <w:rtl/>
          <w:lang w:bidi="fa-IR"/>
        </w:rPr>
        <w:t>وجه سوّم: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منظور شيخ طوسى 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>از خبر واحد حجت، خبرى است كه محفوف به قراين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>بوده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و افاده علم نمايد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 xml:space="preserve"> و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سيّد مرتضى </w:t>
      </w:r>
      <w:r w:rsidR="003359B4" w:rsidRPr="0029101D">
        <w:rPr>
          <w:rFonts w:ascii="Traditional Arabic" w:hAnsi="Traditional Arabic" w:cs="Traditional Arabic" w:hint="cs"/>
          <w:rtl/>
          <w:lang w:bidi="fa-IR"/>
        </w:rPr>
        <w:t xml:space="preserve">نیز </w:t>
      </w:r>
      <w:r w:rsidRPr="0029101D">
        <w:rPr>
          <w:rFonts w:ascii="Traditional Arabic" w:hAnsi="Traditional Arabic" w:cs="Traditional Arabic" w:hint="cs"/>
          <w:rtl/>
          <w:lang w:bidi="fa-IR"/>
        </w:rPr>
        <w:t>حتما چنين خبرى را حجّت مى‏داند.</w:t>
      </w:r>
    </w:p>
    <w:p w:rsidR="00156BC7" w:rsidRPr="0029101D" w:rsidRDefault="00156BC7" w:rsidP="009F7C05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 xml:space="preserve">شيخ انصارى وجه اوّل و پس از آن وجه دوّم را تحسين نموده است و علاوه بر وجوه مذكوره وجه ديگرى را ذكر نموده است و چندين بار آن را مورد تحسين و تأييد قرار داده و بهترين وجوه معرّفى نموده است و ما حصل آن وجه كه </w:t>
      </w:r>
      <w:r w:rsidR="009F7C05" w:rsidRPr="0029101D">
        <w:rPr>
          <w:rFonts w:ascii="Traditional Arabic" w:hAnsi="Traditional Arabic" w:cs="Traditional Arabic" w:hint="cs"/>
          <w:rtl/>
          <w:lang w:bidi="fa-IR"/>
        </w:rPr>
        <w:t>وجه چهارم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9F7C05" w:rsidRPr="0029101D">
        <w:rPr>
          <w:rFonts w:ascii="Traditional Arabic" w:hAnsi="Traditional Arabic" w:cs="Traditional Arabic" w:hint="cs"/>
          <w:rtl/>
          <w:lang w:bidi="fa-IR"/>
        </w:rPr>
        <w:t>باشد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از اين قرار است:</w:t>
      </w:r>
    </w:p>
    <w:p w:rsidR="007B19F9" w:rsidRPr="0029101D" w:rsidRDefault="007B19F9" w:rsidP="001F09F2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مراد سيد از علمى كه در كلامش آورده و مدعى شده كه بايد خبر مفيد علم باشد تا حجت شود، علم صددرصد، يعنى القطع الجازم الذى لا احتمال للخطإ فيه و لو ضعيفا نيست، بلكه مراد ايشان اطمينان و علم عادى است كه با احتمال خلاف ضعيف و ناچيز قابل جمع است شاهد اين سخن عبارت است از تعريفى كه خود سيد از علم نموده: العلم ما اقتضى سكون النفسى كه سكون نفس همان اطمينانو آرامش خاطر است</w:t>
      </w:r>
      <w:r w:rsidR="001F09F2" w:rsidRPr="0029101D">
        <w:rPr>
          <w:rFonts w:ascii="Traditional Arabic" w:hAnsi="Traditional Arabic" w:cs="Traditional Arabic" w:hint="cs"/>
          <w:rtl/>
          <w:lang w:bidi="fa-IR"/>
        </w:rPr>
        <w:t>(مثلا احتمال 95 درصد)</w:t>
      </w:r>
      <w:r w:rsidRPr="0029101D">
        <w:rPr>
          <w:rFonts w:ascii="Traditional Arabic" w:hAnsi="Traditional Arabic" w:cs="Traditional Arabic" w:hint="cs"/>
          <w:rtl/>
          <w:lang w:bidi="fa-IR"/>
        </w:rPr>
        <w:t>. بنابراين، مراد سيد از قرائنى كه در گفتارش ادعا نموده كه اكثر روايات محفوف به آن است عبارت است از امورى كه مفيد وثوق و اطمينان است</w:t>
      </w:r>
      <w:r w:rsidR="00C151E6" w:rsidRPr="0029101D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29101D">
        <w:rPr>
          <w:rFonts w:ascii="Traditional Arabic" w:hAnsi="Traditional Arabic" w:cs="Traditional Arabic" w:hint="cs"/>
          <w:rtl/>
          <w:lang w:bidi="fa-IR"/>
        </w:rPr>
        <w:t>و مراد شيخ از اينكه ادعاى اجماع كرده بر عمل به خبر واحد مجرد</w:t>
      </w:r>
      <w:r w:rsidR="00C151E6" w:rsidRPr="0029101D">
        <w:rPr>
          <w:rFonts w:ascii="Traditional Arabic" w:hAnsi="Traditional Arabic" w:cs="Traditional Arabic" w:hint="cs"/>
          <w:rtl/>
          <w:lang w:bidi="fa-IR"/>
        </w:rPr>
        <w:t>،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عبارت است از خبرهاى آحادى كه از قرائن قطعيه</w:t>
      </w:r>
      <w:r w:rsidR="001F09F2" w:rsidRPr="0029101D">
        <w:rPr>
          <w:rFonts w:ascii="Traditional Arabic" w:hAnsi="Traditional Arabic" w:cs="Traditional Arabic" w:hint="cs"/>
          <w:rtl/>
          <w:lang w:bidi="fa-IR"/>
        </w:rPr>
        <w:t>(100 درصد)</w:t>
      </w:r>
      <w:r w:rsidRPr="0029101D">
        <w:rPr>
          <w:rFonts w:ascii="Traditional Arabic" w:hAnsi="Traditional Arabic" w:cs="Traditional Arabic" w:hint="cs"/>
          <w:rtl/>
          <w:lang w:bidi="fa-IR"/>
        </w:rPr>
        <w:t>، يعنى موافقه الكتاب و السنة و الاجماع و العقل مجرد باشد پس باز هم منافات از ميان مى‏رود كه هر دو به خبر مفيد اطمينان عمل مى‏كنند. فما اثبته الشيخ لم ينفه السيد و ما نفاه السيد لم يثبته الشيخ.</w:t>
      </w:r>
    </w:p>
    <w:p w:rsidR="00C151E6" w:rsidRPr="0029101D" w:rsidRDefault="00C151E6" w:rsidP="00C151E6">
      <w:pPr>
        <w:rPr>
          <w:rFonts w:ascii="Traditional Arabic" w:hAnsi="Traditional Arabic" w:cs="Traditional Arabic"/>
          <w:color w:val="FF0000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مرحوم مظفر ر</w:t>
      </w:r>
      <w:r w:rsidR="001F09F2" w:rsidRPr="0029101D">
        <w:rPr>
          <w:rFonts w:ascii="Traditional Arabic" w:hAnsi="Traditional Arabic" w:cs="Traditional Arabic" w:hint="cs"/>
          <w:color w:val="FF0000"/>
          <w:rtl/>
          <w:lang w:bidi="fa-IR"/>
        </w:rPr>
        <w:t>حمه اللّه در مقام اعتراض به وجه‌</w:t>
      </w: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الجمع شيخ انصارى مى‏فرمايد:</w:t>
      </w:r>
    </w:p>
    <w:p w:rsidR="00C151E6" w:rsidRPr="0029101D" w:rsidRDefault="00C151E6" w:rsidP="001F09F2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 xml:space="preserve">من گمان نمى‏كنم كه خود سيد مرتضى به اين توجيه شيخ انصارى راضى و خشنود باشد. به دليل اينكه خود </w:t>
      </w: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سيد در مواردى تصريح نموده به اينكه مراد من از علم همان قطع جازم است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كه بوجه من الوجوه احتمال خلاف در او راه ندارد نه اينكه مجرد اطمينان باشد.</w:t>
      </w:r>
    </w:p>
    <w:p w:rsidR="00A726C8" w:rsidRPr="0029101D" w:rsidRDefault="009F3E5B" w:rsidP="009F3E5B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lastRenderedPageBreak/>
        <w:t>مرحوم مظفر در ادامه می</w:t>
      </w:r>
      <w:r w:rsidR="005C6631" w:rsidRPr="0029101D">
        <w:rPr>
          <w:rFonts w:ascii="Traditional Arabic" w:hAnsi="Traditional Arabic" w:cs="Traditional Arabic" w:hint="cs"/>
          <w:rtl/>
          <w:lang w:bidi="fa-IR"/>
        </w:rPr>
        <w:t>‌</w:t>
      </w:r>
      <w:r w:rsidRPr="0029101D">
        <w:rPr>
          <w:rFonts w:ascii="Traditional Arabic" w:hAnsi="Traditional Arabic" w:cs="Traditional Arabic" w:hint="cs"/>
          <w:rtl/>
          <w:lang w:bidi="fa-IR"/>
        </w:rPr>
        <w:t>فرمایند ممکن است بتوان به این کلام مرحوم سید که فرمود: فانّ الظّن</w:t>
      </w:r>
      <w:r w:rsidR="00E120EA" w:rsidRPr="0029101D">
        <w:rPr>
          <w:rFonts w:ascii="Traditional Arabic" w:hAnsi="Traditional Arabic" w:cs="Traditional Arabic" w:hint="cs"/>
          <w:rtl/>
          <w:lang w:bidi="fa-IR"/>
        </w:rPr>
        <w:t xml:space="preserve"> لا</w:t>
      </w:r>
      <w:r w:rsidRPr="0029101D">
        <w:rPr>
          <w:rFonts w:ascii="Traditional Arabic" w:hAnsi="Traditional Arabic" w:cs="Traditional Arabic" w:hint="cs"/>
          <w:rtl/>
          <w:lang w:bidi="fa-IR"/>
        </w:rPr>
        <w:t>يمنع من التّجويز فعاد الامر...</w:t>
      </w:r>
      <w:r w:rsidR="005C6631" w:rsidRPr="0029101D">
        <w:rPr>
          <w:rStyle w:val="a6"/>
          <w:rFonts w:ascii="Traditional Arabic" w:hAnsi="Traditional Arabic" w:cs="Traditional Arabic"/>
          <w:rtl/>
          <w:lang w:bidi="fa-IR"/>
        </w:rPr>
        <w:footnoteReference w:id="2"/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استشهاد نموده و احتمال چهارم(که مورد تایید شیخ است) را تقویت نماییم.</w:t>
      </w:r>
    </w:p>
    <w:p w:rsidR="00E120EA" w:rsidRPr="0029101D" w:rsidRDefault="00E120EA" w:rsidP="007C18DA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بیان ذلک: : احتمال خلاف گاهى يك احتمال ضعيف است كه عقلاى عالم به آن اعتنا ندارند مثل احتمال 2درصد كه با اطمينان و احتمال 98درصد به امرى هم قابل جمع است. و گاهى يك احتمال قوى است كه با اطمينان قابل جمع نيست و اعتماد به صدق خب</w:t>
      </w:r>
      <w:r w:rsidR="0007449F" w:rsidRPr="0029101D">
        <w:rPr>
          <w:rFonts w:ascii="Traditional Arabic" w:hAnsi="Traditional Arabic" w:cs="Traditional Arabic" w:hint="cs"/>
          <w:rtl/>
          <w:lang w:bidi="fa-IR"/>
        </w:rPr>
        <w:t>ر را از بين مى‏برد مثل احتمال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40</w:t>
      </w:r>
      <w:r w:rsidR="0007449F" w:rsidRPr="0029101D">
        <w:rPr>
          <w:rFonts w:ascii="Traditional Arabic" w:hAnsi="Traditional Arabic" w:cs="Traditional Arabic" w:hint="cs"/>
          <w:rtl/>
          <w:lang w:bidi="fa-IR"/>
        </w:rPr>
        <w:t>درصد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در مقابل 60</w:t>
      </w:r>
      <w:r w:rsidR="0007449F" w:rsidRPr="0029101D">
        <w:rPr>
          <w:rFonts w:ascii="Traditional Arabic" w:hAnsi="Traditional Arabic" w:cs="Traditional Arabic" w:hint="cs"/>
          <w:rtl/>
          <w:lang w:bidi="fa-IR"/>
        </w:rPr>
        <w:t>درصد.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حال شايد مراد سيد </w:t>
      </w:r>
      <w:r w:rsidR="007C18DA" w:rsidRPr="0029101D">
        <w:rPr>
          <w:rFonts w:ascii="Traditional Arabic" w:hAnsi="Traditional Arabic" w:cs="Traditional Arabic" w:hint="cs"/>
          <w:rtl/>
          <w:lang w:bidi="fa-IR"/>
        </w:rPr>
        <w:t>فرمود الظن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="0007449F" w:rsidRPr="0029101D">
        <w:rPr>
          <w:rFonts w:ascii="Traditional Arabic" w:hAnsi="Traditional Arabic" w:cs="Traditional Arabic" w:hint="cs"/>
          <w:rtl/>
          <w:lang w:bidi="fa-IR"/>
        </w:rPr>
        <w:t xml:space="preserve">لایمنع من التجویز جایی است که </w:t>
      </w:r>
      <w:r w:rsidR="007C18DA" w:rsidRPr="0029101D">
        <w:rPr>
          <w:rFonts w:ascii="Traditional Arabic" w:hAnsi="Traditional Arabic" w:cs="Traditional Arabic" w:hint="cs"/>
          <w:rtl/>
          <w:lang w:bidi="fa-IR"/>
        </w:rPr>
        <w:t xml:space="preserve">ظن در حد </w:t>
      </w:r>
      <w:r w:rsidR="00C849B5" w:rsidRPr="0029101D">
        <w:rPr>
          <w:rFonts w:ascii="Traditional Arabic" w:hAnsi="Traditional Arabic" w:cs="Traditional Arabic" w:hint="cs"/>
          <w:rtl/>
          <w:lang w:bidi="fa-IR"/>
        </w:rPr>
        <w:t>شصت درصد احتمال مطابق</w:t>
      </w:r>
      <w:r w:rsidR="007C18DA" w:rsidRPr="0029101D">
        <w:rPr>
          <w:rFonts w:ascii="Traditional Arabic" w:hAnsi="Traditional Arabic" w:cs="Traditional Arabic" w:hint="cs"/>
          <w:rtl/>
          <w:lang w:bidi="fa-IR"/>
        </w:rPr>
        <w:t xml:space="preserve">ت با واقع دارد، و احتمال شصت درصد </w:t>
      </w:r>
      <w:r w:rsidR="00C849B5" w:rsidRPr="0029101D">
        <w:rPr>
          <w:rFonts w:ascii="Traditional Arabic" w:hAnsi="Traditional Arabic" w:cs="Traditional Arabic" w:hint="cs"/>
          <w:rtl/>
          <w:lang w:bidi="fa-IR"/>
        </w:rPr>
        <w:t>نمی</w:t>
      </w:r>
      <w:r w:rsidR="007C18DA" w:rsidRPr="0029101D">
        <w:rPr>
          <w:rFonts w:ascii="Traditional Arabic" w:hAnsi="Traditional Arabic" w:cs="Traditional Arabic" w:hint="cs"/>
          <w:rtl/>
          <w:lang w:bidi="fa-IR"/>
        </w:rPr>
        <w:t>‌</w:t>
      </w:r>
      <w:r w:rsidR="00C849B5" w:rsidRPr="0029101D">
        <w:rPr>
          <w:rFonts w:ascii="Traditional Arabic" w:hAnsi="Traditional Arabic" w:cs="Traditional Arabic" w:hint="cs"/>
          <w:rtl/>
          <w:lang w:bidi="fa-IR"/>
        </w:rPr>
        <w:t xml:space="preserve">تواند </w:t>
      </w:r>
      <w:r w:rsidR="007C18DA" w:rsidRPr="0029101D">
        <w:rPr>
          <w:rFonts w:ascii="Traditional Arabic" w:hAnsi="Traditional Arabic" w:cs="Traditional Arabic" w:hint="cs"/>
          <w:rtl/>
          <w:lang w:bidi="fa-IR"/>
        </w:rPr>
        <w:t xml:space="preserve">ما را از دروغ نبودنش مطمئن سازد. </w:t>
      </w:r>
      <w:r w:rsidR="0007449F" w:rsidRPr="0029101D">
        <w:rPr>
          <w:rFonts w:ascii="Traditional Arabic" w:hAnsi="Traditional Arabic" w:cs="Traditional Arabic" w:hint="cs"/>
          <w:rtl/>
          <w:lang w:bidi="fa-IR"/>
        </w:rPr>
        <w:t xml:space="preserve">فلذا با </w:t>
      </w:r>
      <w:r w:rsidR="007C18DA" w:rsidRPr="0029101D">
        <w:rPr>
          <w:rFonts w:ascii="Traditional Arabic" w:hAnsi="Traditional Arabic" w:cs="Traditional Arabic" w:hint="cs"/>
          <w:rtl/>
          <w:lang w:bidi="fa-IR"/>
        </w:rPr>
        <w:t>چهل درصد</w:t>
      </w:r>
      <w:r w:rsidR="0007449F" w:rsidRPr="0029101D">
        <w:rPr>
          <w:rFonts w:ascii="Traditional Arabic" w:hAnsi="Traditional Arabic" w:cs="Traditional Arabic" w:hint="cs"/>
          <w:rtl/>
          <w:lang w:bidi="fa-IR"/>
        </w:rPr>
        <w:t xml:space="preserve"> احتمال خلاف</w:t>
      </w:r>
      <w:r w:rsidR="007C18DA" w:rsidRPr="0029101D">
        <w:rPr>
          <w:rFonts w:ascii="Traditional Arabic" w:hAnsi="Traditional Arabic" w:cs="Traditional Arabic" w:hint="cs"/>
          <w:rtl/>
          <w:lang w:bidi="fa-IR"/>
        </w:rPr>
        <w:t>،</w:t>
      </w:r>
      <w:r w:rsidR="0007449F" w:rsidRPr="0029101D">
        <w:rPr>
          <w:rFonts w:ascii="Traditional Arabic" w:hAnsi="Traditional Arabic" w:cs="Traditional Arabic" w:hint="cs"/>
          <w:rtl/>
          <w:lang w:bidi="fa-IR"/>
        </w:rPr>
        <w:t xml:space="preserve"> دیگر خبر واحد باعث سکون نفس نمی گردد.</w:t>
      </w:r>
    </w:p>
    <w:p w:rsidR="007C18DA" w:rsidRPr="0029101D" w:rsidRDefault="007C18DA" w:rsidP="00AC617A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مرحوم مظفر میفرماید اگرچه این احتمال موید فرمایش شیخ بر وجه چهارم است لکن این احتمال هم بعید است زیرا: خود سيد در برخى از كلماتش فرموده است:</w:t>
      </w:r>
      <w:r w:rsidR="00AC617A" w:rsidRPr="0029101D">
        <w:rPr>
          <w:rFonts w:ascii="Traditional Arabic" w:hAnsi="Traditional Arabic" w:cs="Traditional Arabic" w:hint="cs"/>
          <w:rtl/>
          <w:lang w:bidi="fa-IR"/>
        </w:rPr>
        <w:t xml:space="preserve"> </w:t>
      </w:r>
      <w:r w:rsidRPr="0029101D">
        <w:rPr>
          <w:rFonts w:ascii="Traditional Arabic" w:hAnsi="Traditional Arabic" w:cs="Traditional Arabic" w:hint="cs"/>
          <w:rtl/>
          <w:lang w:bidi="fa-IR"/>
        </w:rPr>
        <w:t>«كسانى كه از معصومين فاصله دارند و در نقاط دوردست عالم زندگى مى‏كنند و يا پس از معصومين و در عصر غيبت به وجود آمده‏اند، وظيفه دارند فقط به خبرهاى متواتره و اجماعات قطعيه اعتماد نمايند نه به امور ديگر». پس مرادشان از علم اطمينان نيست.</w:t>
      </w:r>
    </w:p>
    <w:p w:rsidR="00AC617A" w:rsidRPr="0029101D" w:rsidRDefault="00AC617A" w:rsidP="00AC617A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سؤال: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اگر مراد سيد از علم اطمينان نيست پس چرا در تعريف علم فرموده است: العلم ما يقتضى سكون النفسى؟</w:t>
      </w:r>
    </w:p>
    <w:p w:rsidR="00AC617A" w:rsidRPr="0029101D" w:rsidRDefault="00AC617A" w:rsidP="00AC617A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جواب: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اين تعبير در ميان قدما از علما رايج و متداول بوده و شيخ طوسى هم در عدة‌الاصول چنين تعبيرى دارد و ظاهرا مراد متقدمين از سكون نفس همان جزم و يقين است نه مجرد اطمينان و لو به سرحد يقين نرسد اگرچه در ميان متأخرين مراد از سكون نفس همان اطمينان است.</w:t>
      </w:r>
    </w:p>
    <w:p w:rsidR="00AC617A" w:rsidRPr="0029101D" w:rsidRDefault="00AC617A" w:rsidP="00AC617A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نكته: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شايد اين وجه‏الجمعى كه شيخ انصارى بيان نموده از عملكرد خود سيد و اتباع او استنباط نموده به دليل اينكه سيد اگرچه در مقام مباحثات علميه گفته به خبرهايى كه موجب قطع نباشند عمل نمى‏كنيم، ولى در مقام عمل در موارد بسيار، در استنباطات فقهيه‏اش به خبر واحد ثقه عمل نموده و لذا شايد اين شيوه عملى سيد و اتباع او سبب اين توجيه شيخ گرديده.</w:t>
      </w:r>
    </w:p>
    <w:p w:rsidR="00AC617A" w:rsidRPr="0029101D" w:rsidRDefault="00AC617A" w:rsidP="00AC617A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ان قلت: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شايد سيد كه به آن روايات عمل مى‏كرده از اين باب بوده كه يا اين اخبار به نزد سيد خبر متواتر بودند و يا خبر واحد مع القرينة القطعيه نه مجرد از آن.</w:t>
      </w:r>
    </w:p>
    <w:p w:rsidR="009F3E5B" w:rsidRPr="0029101D" w:rsidRDefault="00AC617A" w:rsidP="00AC617A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قلت: اين احتمال خيلى بعيد است، بلكه ملحق به عدم است، بلكه محال عادى است؛ زيرا چگونه ممكن است اين‏همه روايات كه سر از ده‏ها هزار درمى‏آورد عند السيد همگى متواتر و يا همراه با قرائن قطعيه باشد؟!</w:t>
      </w:r>
    </w:p>
    <w:p w:rsidR="00AC617A" w:rsidRPr="0029101D" w:rsidRDefault="00AC617A" w:rsidP="001E1EF7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 xml:space="preserve">بعد از این </w:t>
      </w: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مرحوم مظفر می</w:t>
      </w:r>
      <w:r w:rsidR="009B0813" w:rsidRPr="0029101D">
        <w:rPr>
          <w:rFonts w:ascii="Traditional Arabic" w:hAnsi="Traditional Arabic" w:cs="Traditional Arabic" w:hint="cs"/>
          <w:color w:val="FF0000"/>
          <w:rtl/>
          <w:lang w:bidi="fa-IR"/>
        </w:rPr>
        <w:t>‌</w:t>
      </w: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فرمایند</w:t>
      </w:r>
      <w:r w:rsidRPr="0029101D">
        <w:rPr>
          <w:rFonts w:ascii="Traditional Arabic" w:hAnsi="Traditional Arabic" w:cs="Traditional Arabic" w:hint="cs"/>
          <w:rtl/>
          <w:lang w:bidi="fa-IR"/>
        </w:rPr>
        <w:t>: ما چه بتواني</w:t>
      </w:r>
      <w:r w:rsidR="001E1EF7" w:rsidRPr="0029101D">
        <w:rPr>
          <w:rFonts w:ascii="Traditional Arabic" w:hAnsi="Traditional Arabic" w:cs="Traditional Arabic" w:hint="cs"/>
          <w:rtl/>
          <w:lang w:bidi="fa-IR"/>
        </w:rPr>
        <w:t xml:space="preserve">م اين دو اجماع متناقض را توجيه </w:t>
      </w:r>
      <w:r w:rsidRPr="0029101D">
        <w:rPr>
          <w:rFonts w:ascii="Traditional Arabic" w:hAnsi="Traditional Arabic" w:cs="Traditional Arabic" w:hint="cs"/>
          <w:rtl/>
          <w:lang w:bidi="fa-IR"/>
        </w:rPr>
        <w:t>كنيم و چه نتوانيم</w:t>
      </w:r>
      <w:r w:rsidR="001E1EF7" w:rsidRPr="0029101D">
        <w:rPr>
          <w:rFonts w:ascii="Traditional Arabic" w:hAnsi="Traditional Arabic" w:cs="Traditional Arabic" w:hint="cs"/>
          <w:rtl/>
          <w:lang w:bidi="fa-IR"/>
        </w:rPr>
        <w:t>،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معتقديم كه </w:t>
      </w: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ادعاى شيخ طوسى كه فرموده است: حجيت خبر واحد اجماعى است</w:t>
      </w:r>
      <w:r w:rsidR="001E1EF7" w:rsidRPr="0029101D"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 xml:space="preserve"> يك ادعاى مقبول و تام است و ما اين را اختيار مى‏كنيم 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و براى </w:t>
      </w:r>
      <w:r w:rsidR="001E1EF7" w:rsidRPr="0029101D">
        <w:rPr>
          <w:rFonts w:ascii="Traditional Arabic" w:hAnsi="Traditional Arabic" w:cs="Traditional Arabic" w:hint="cs"/>
          <w:rtl/>
          <w:lang w:bidi="fa-IR"/>
        </w:rPr>
        <w:t>اين مدعا شواهدى هم در دست داريم:</w:t>
      </w:r>
    </w:p>
    <w:p w:rsidR="001E1EF7" w:rsidRPr="0029101D" w:rsidRDefault="001E1EF7" w:rsidP="001E1EF7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شاهد اول: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سيره همه علماى اسلام: تمام دانشمندان اسلامى چه شيعه و چه سنى در </w:t>
      </w:r>
      <w:r w:rsidR="0029101D">
        <w:rPr>
          <w:rFonts w:ascii="Traditional Arabic" w:hAnsi="Traditional Arabic" w:cs="Traditional Arabic" w:hint="cs"/>
          <w:rtl/>
          <w:lang w:bidi="fa-IR"/>
        </w:rPr>
        <w:t>طول تاريخ از زمان رسول خدا صلّى‌اللّه</w:t>
      </w:r>
      <w:r w:rsidR="0029101D">
        <w:rPr>
          <w:rFonts w:ascii="Traditional Arabic" w:hAnsi="Traditional Arabic" w:cs="Traditional Arabic"/>
          <w:szCs w:val="36"/>
          <w:cs/>
          <w:lang w:bidi="fa-IR"/>
        </w:rPr>
        <w:t>‎</w:t>
      </w:r>
      <w:r w:rsidR="0029101D">
        <w:rPr>
          <w:rFonts w:ascii="Traditional Arabic" w:hAnsi="Traditional Arabic" w:cs="Traditional Arabic" w:hint="cs"/>
          <w:rtl/>
          <w:lang w:bidi="fa-IR"/>
        </w:rPr>
        <w:t>عليه</w:t>
      </w:r>
      <w:r w:rsidR="0029101D">
        <w:rPr>
          <w:rFonts w:ascii="Traditional Arabic" w:hAnsi="Traditional Arabic" w:cs="Traditional Arabic"/>
          <w:szCs w:val="36"/>
          <w:cs/>
          <w:lang w:bidi="fa-IR"/>
        </w:rPr>
        <w:t>‎</w:t>
      </w:r>
      <w:r w:rsidR="0029101D">
        <w:rPr>
          <w:rFonts w:ascii="Traditional Arabic" w:hAnsi="Traditional Arabic" w:cs="Traditional Arabic" w:hint="cs"/>
          <w:rtl/>
          <w:lang w:bidi="fa-IR"/>
        </w:rPr>
        <w:t>وآله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الى يومنا هذا به خبر واحد ثقة عمل مى‏كردند و حتى خود سيد و ابن ادريس هم كه به زبان حجيت خبر واحد را انكار مى‏نمودند در عمل و در مقام فتوا در مواردى بسيار به خبر واحد اعتماد كرده‏اند و اين بناى عملى بهترين شاهد بر حجيت خبر ثقة است‏</w:t>
      </w:r>
      <w:r w:rsidR="00586F0B" w:rsidRPr="0029101D">
        <w:rPr>
          <w:rFonts w:ascii="Traditional Arabic" w:hAnsi="Traditional Arabic" w:cs="Traditional Arabic" w:hint="cs"/>
          <w:rtl/>
          <w:lang w:bidi="fa-IR"/>
        </w:rPr>
        <w:t>.</w:t>
      </w:r>
    </w:p>
    <w:p w:rsidR="00586F0B" w:rsidRPr="0029101D" w:rsidRDefault="00586F0B" w:rsidP="00586F0B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 xml:space="preserve">شاهد دوم: </w:t>
      </w:r>
      <w:r w:rsidRPr="0029101D">
        <w:rPr>
          <w:rFonts w:ascii="Traditional Arabic" w:hAnsi="Traditional Arabic" w:cs="Traditional Arabic" w:hint="cs"/>
          <w:rtl/>
          <w:lang w:bidi="fa-IR"/>
        </w:rPr>
        <w:t>مرحوم كشى صاحب كتاب رجال ادعاى اجماع نموده بر حجيت رواياتى كه از هجده</w:t>
      </w:r>
      <w:r w:rsidR="009B0813" w:rsidRPr="0029101D">
        <w:rPr>
          <w:rFonts w:ascii="Traditional Arabic" w:hAnsi="Traditional Arabic" w:cs="Traditional Arabic" w:hint="cs"/>
          <w:rtl/>
          <w:lang w:bidi="fa-IR"/>
        </w:rPr>
        <w:t xml:space="preserve"> تن از اصحاب‌</w:t>
      </w:r>
      <w:r w:rsidRPr="0029101D">
        <w:rPr>
          <w:rFonts w:ascii="Traditional Arabic" w:hAnsi="Traditional Arabic" w:cs="Traditional Arabic" w:hint="cs"/>
          <w:rtl/>
          <w:lang w:bidi="fa-IR"/>
        </w:rPr>
        <w:t>الائم</w:t>
      </w:r>
      <w:r w:rsidR="009B0813" w:rsidRPr="0029101D">
        <w:rPr>
          <w:rFonts w:ascii="Traditional Arabic" w:hAnsi="Traditional Arabic" w:cs="Traditional Arabic" w:hint="cs"/>
          <w:rtl/>
          <w:lang w:bidi="fa-IR"/>
        </w:rPr>
        <w:t xml:space="preserve">ه به ما رسيده كه به نام </w:t>
      </w:r>
      <w:hyperlink r:id="rId14" w:history="1">
        <w:r w:rsidR="009B0813"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اصحاب‌</w:t>
        </w:r>
        <w:r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اجماع</w:t>
        </w:r>
      </w:hyperlink>
      <w:r w:rsidRPr="0029101D">
        <w:rPr>
          <w:rFonts w:ascii="Traditional Arabic" w:hAnsi="Traditional Arabic" w:cs="Traditional Arabic" w:hint="cs"/>
          <w:rtl/>
          <w:lang w:bidi="fa-IR"/>
        </w:rPr>
        <w:t xml:space="preserve"> معروف‏اند.</w:t>
      </w:r>
    </w:p>
    <w:p w:rsidR="00586F0B" w:rsidRPr="0029101D" w:rsidRDefault="00586F0B" w:rsidP="00586F0B">
      <w:pPr>
        <w:rPr>
          <w:rFonts w:ascii="Traditional Arabic" w:hAnsi="Traditional Arabic" w:cs="Traditional Arabic"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سؤال: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آيا اين اعتماد علما به خاطر آن است كه قطع به صدور روايات اين‏ها دارند؟</w:t>
      </w:r>
    </w:p>
    <w:p w:rsidR="00586F0B" w:rsidRPr="0029101D" w:rsidRDefault="00586F0B" w:rsidP="00586F0B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جواب: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هرگز به دليل اينكه اين عده و لو درجاتشان عالى است، ولكن معصوم كه نبودند، پس احتمال خطا يا كذب و يا نسيان و غفلت و لو احتمال ضعيف داده مى‏شود در حق آنها بنابراين، رمز اعتماد علما بر اين دسته عبارت است از وثوق و اطمينان كامل به آنان.</w:t>
      </w:r>
    </w:p>
    <w:p w:rsidR="00586F0B" w:rsidRPr="0029101D" w:rsidRDefault="00586F0B" w:rsidP="000479C6">
      <w:pPr>
        <w:rPr>
          <w:rFonts w:ascii="Traditional Arabic" w:hAnsi="Traditional Arabic" w:cs="Traditional Arabic"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 xml:space="preserve">شاهد سوم: </w:t>
      </w:r>
      <w:r w:rsidR="000479C6" w:rsidRPr="0029101D">
        <w:rPr>
          <w:rFonts w:ascii="Traditional Arabic" w:hAnsi="Traditional Arabic" w:cs="Traditional Arabic" w:hint="cs"/>
          <w:rtl/>
          <w:lang w:bidi="fa-IR"/>
        </w:rPr>
        <w:t>شيخ انصارى در رسائل</w:t>
      </w:r>
      <w:r w:rsidR="000479C6" w:rsidRPr="0029101D">
        <w:rPr>
          <w:rStyle w:val="a6"/>
          <w:rFonts w:ascii="Traditional Arabic" w:hAnsi="Traditional Arabic" w:cs="Traditional Arabic"/>
          <w:rtl/>
          <w:lang w:bidi="fa-IR"/>
        </w:rPr>
        <w:footnoteReference w:id="3"/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فرموده است: مرحوم نجاشى صاحب رجال فرمود: مراسيل </w:t>
      </w:r>
      <w:hyperlink r:id="rId15" w:history="1">
        <w:r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محمّد بن ابى عمير</w:t>
        </w:r>
      </w:hyperlink>
      <w:r w:rsidRPr="0029101D">
        <w:rPr>
          <w:rFonts w:ascii="Traditional Arabic" w:hAnsi="Traditional Arabic" w:cs="Traditional Arabic" w:hint="cs"/>
          <w:rtl/>
          <w:lang w:bidi="fa-IR"/>
        </w:rPr>
        <w:t xml:space="preserve"> در نزد شيعه مقبول است و به آن عمل مى‏كنند تا آنجا ك</w:t>
      </w:r>
      <w:r w:rsidR="000479C6" w:rsidRPr="0029101D">
        <w:rPr>
          <w:rFonts w:ascii="Traditional Arabic" w:hAnsi="Traditional Arabic" w:cs="Traditional Arabic" w:hint="cs"/>
          <w:rtl/>
          <w:lang w:bidi="fa-IR"/>
        </w:rPr>
        <w:t xml:space="preserve">ه گفته شده مراسيل ابن ابى عمير مانند 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مسانيد </w:t>
      </w:r>
      <w:r w:rsidR="000479C6" w:rsidRPr="0029101D">
        <w:rPr>
          <w:rFonts w:ascii="Traditional Arabic" w:hAnsi="Traditional Arabic" w:cs="Traditional Arabic" w:hint="cs"/>
          <w:rtl/>
          <w:lang w:bidi="fa-IR"/>
        </w:rPr>
        <w:t>دیگران است</w:t>
      </w:r>
      <w:r w:rsidRPr="0029101D">
        <w:rPr>
          <w:rFonts w:ascii="Traditional Arabic" w:hAnsi="Traditional Arabic" w:cs="Traditional Arabic" w:hint="cs"/>
          <w:rtl/>
          <w:lang w:bidi="fa-IR"/>
        </w:rPr>
        <w:t>.</w:t>
      </w:r>
    </w:p>
    <w:p w:rsidR="00586F0B" w:rsidRPr="0029101D" w:rsidRDefault="00586F0B" w:rsidP="00586F0B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lastRenderedPageBreak/>
        <w:t>سؤال: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آيا اعتماد اصحاب به مراسيل ابن ابى عمير از آن جهت بود كه قطع به صدور آنها از معصوم داشتند؟</w:t>
      </w:r>
    </w:p>
    <w:p w:rsidR="001E1EF7" w:rsidRPr="0029101D" w:rsidRDefault="00586F0B" w:rsidP="009B0813">
      <w:pPr>
        <w:rPr>
          <w:rFonts w:ascii="Traditional Arabic" w:hAnsi="Traditional Arabic" w:cs="Traditional Arabic"/>
          <w:rtl/>
          <w:lang w:bidi="fa-IR"/>
        </w:rPr>
      </w:pPr>
      <w:r w:rsidRPr="0029101D">
        <w:rPr>
          <w:rFonts w:ascii="Traditional Arabic" w:hAnsi="Traditional Arabic" w:cs="Traditional Arabic" w:hint="cs"/>
          <w:color w:val="FF0000"/>
          <w:rtl/>
          <w:lang w:bidi="fa-IR"/>
        </w:rPr>
        <w:t>جواب:</w:t>
      </w:r>
      <w:r w:rsidRPr="0029101D">
        <w:rPr>
          <w:rFonts w:ascii="Traditional Arabic" w:hAnsi="Traditional Arabic" w:cs="Traditional Arabic" w:hint="cs"/>
          <w:rtl/>
          <w:lang w:bidi="fa-IR"/>
        </w:rPr>
        <w:t xml:space="preserve"> هرگز به دليل اينكه ابن ابى عمير معصوم كه نبوده پس احتمال خطا و ... در او هست بنابراين، راز اعتماد اصحاب همانا وثوق و اعتماد كاملى است كه به ابن ابى عمير داشتند از اين جهت كه وى نقل حديث نمى‏كند مگر از ثقات (انه لا يروى او لا يرسل الا عن ثقة) پس خبر واحد ثقة حجت است.</w:t>
      </w:r>
    </w:p>
    <w:p w:rsidR="009B0813" w:rsidRPr="0029101D" w:rsidRDefault="00203196" w:rsidP="00203196">
      <w:pPr>
        <w:rPr>
          <w:rFonts w:ascii="Traditional Arabic" w:hAnsi="Traditional Arabic" w:cs="Traditional Arabic"/>
          <w:color w:val="FF0000"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در خاتمه: شيخ انصارى در رسائل</w:t>
      </w:r>
      <w:r w:rsidRPr="0029101D">
        <w:rPr>
          <w:rStyle w:val="a6"/>
          <w:rFonts w:ascii="Traditional Arabic" w:hAnsi="Traditional Arabic" w:cs="Traditional Arabic"/>
          <w:rtl/>
          <w:lang w:bidi="fa-IR"/>
        </w:rPr>
        <w:footnoteReference w:id="4"/>
      </w:r>
      <w:r w:rsidR="009B0813" w:rsidRPr="0029101D">
        <w:rPr>
          <w:rFonts w:ascii="Traditional Arabic" w:hAnsi="Traditional Arabic" w:cs="Traditional Arabic" w:hint="cs"/>
          <w:rtl/>
          <w:lang w:bidi="fa-IR"/>
        </w:rPr>
        <w:t xml:space="preserve"> فرموده است: انصاف آن است كه </w:t>
      </w:r>
      <w:r w:rsidR="009B0813" w:rsidRPr="0029101D">
        <w:rPr>
          <w:rFonts w:ascii="Traditional Arabic" w:hAnsi="Traditional Arabic" w:cs="Traditional Arabic" w:hint="cs"/>
          <w:color w:val="FF0000"/>
          <w:rtl/>
          <w:lang w:bidi="fa-IR"/>
        </w:rPr>
        <w:t>در هيچ مسأله‏اى از مسائل به اندازه مسئله حجيت خبر واحد ادعاى اجماع و شهرت عظيمه و امارات كثيره نشده و اگر كسى در اين مورد در تحقق اجماع شك كند بايد گفت او نمى‏تواند در هيچ مسأله‏اى از مسائل اجماع را بپذيرد مگر در ضروريات مذهب كه آنجا هم نيازى به اجماع نيست.</w:t>
      </w:r>
    </w:p>
    <w:p w:rsidR="009B0813" w:rsidRPr="0029101D" w:rsidRDefault="0029101D" w:rsidP="0029101D">
      <w:pPr>
        <w:rPr>
          <w:rFonts w:ascii="Traditional Arabic" w:hAnsi="Traditional Arabic" w:cs="Traditional Arabic"/>
          <w:rtl/>
          <w:lang w:bidi="fa-IR"/>
        </w:rPr>
      </w:pPr>
      <w:r>
        <w:rPr>
          <w:rFonts w:ascii="Traditional Arabic" w:hAnsi="Traditional Arabic" w:cs="Traditional Arabic" w:hint="cs"/>
          <w:rtl/>
          <w:lang w:bidi="fa-IR"/>
        </w:rPr>
        <w:t>و همچنین میفرماید</w:t>
      </w:r>
      <w:r w:rsidR="009B0813" w:rsidRPr="0029101D">
        <w:rPr>
          <w:rFonts w:ascii="Traditional Arabic" w:hAnsi="Traditional Arabic" w:cs="Traditional Arabic" w:hint="cs"/>
          <w:rtl/>
          <w:lang w:bidi="fa-IR"/>
        </w:rPr>
        <w:t xml:space="preserve">: انصاف آن است كه </w:t>
      </w:r>
      <w:r w:rsidR="009B0813" w:rsidRPr="0029101D">
        <w:rPr>
          <w:rFonts w:ascii="Traditional Arabic" w:hAnsi="Traditional Arabic" w:cs="Traditional Arabic" w:hint="cs"/>
          <w:color w:val="FF0000"/>
          <w:rtl/>
          <w:lang w:bidi="fa-IR"/>
        </w:rPr>
        <w:t>قدر متيقن از اين قرائن و ادعاهاى‏</w:t>
      </w:r>
      <w:r w:rsidR="00203196" w:rsidRPr="0029101D">
        <w:rPr>
          <w:rFonts w:ascii="Traditional Arabic" w:hAnsi="Traditional Arabic" w:cs="Traditional Arabic" w:hint="cs"/>
          <w:color w:val="FF0000"/>
          <w:rtl/>
          <w:lang w:bidi="fa-IR"/>
        </w:rPr>
        <w:t xml:space="preserve"> </w:t>
      </w:r>
      <w:r w:rsidR="009B0813" w:rsidRPr="0029101D">
        <w:rPr>
          <w:rFonts w:ascii="Traditional Arabic" w:hAnsi="Traditional Arabic" w:cs="Traditional Arabic" w:hint="cs"/>
          <w:color w:val="FF0000"/>
          <w:rtl/>
          <w:lang w:bidi="fa-IR"/>
        </w:rPr>
        <w:t>اجماع</w:t>
      </w:r>
      <w:r>
        <w:rPr>
          <w:rFonts w:ascii="Traditional Arabic" w:hAnsi="Traditional Arabic" w:cs="Traditional Arabic" w:hint="cs"/>
          <w:color w:val="FF0000"/>
          <w:rtl/>
          <w:lang w:bidi="fa-IR"/>
        </w:rPr>
        <w:t>،</w:t>
      </w:r>
      <w:r w:rsidR="009B0813" w:rsidRPr="0029101D">
        <w:rPr>
          <w:rFonts w:ascii="Traditional Arabic" w:hAnsi="Traditional Arabic" w:cs="Traditional Arabic" w:hint="cs"/>
          <w:color w:val="FF0000"/>
          <w:rtl/>
          <w:lang w:bidi="fa-IR"/>
        </w:rPr>
        <w:t xml:space="preserve"> خصوص خبرهاى واحدى است كه مفيد اطمينان و ظن غالب و متاخم به علم باشن</w:t>
      </w:r>
      <w:r w:rsidR="00203196" w:rsidRPr="0029101D">
        <w:rPr>
          <w:rFonts w:ascii="Traditional Arabic" w:hAnsi="Traditional Arabic" w:cs="Traditional Arabic" w:hint="cs"/>
          <w:color w:val="FF0000"/>
          <w:rtl/>
          <w:lang w:bidi="fa-IR"/>
        </w:rPr>
        <w:t xml:space="preserve">د اما خبر واحدى كه مفيد ظن ضعيف </w:t>
      </w:r>
      <w:r w:rsidR="009B0813" w:rsidRPr="0029101D">
        <w:rPr>
          <w:rFonts w:ascii="Traditional Arabic" w:hAnsi="Traditional Arabic" w:cs="Traditional Arabic" w:hint="cs"/>
          <w:color w:val="FF0000"/>
          <w:rtl/>
          <w:lang w:bidi="fa-IR"/>
        </w:rPr>
        <w:t>باشد حجيت آن از اين قرائن اثبات نمى‏گردد</w:t>
      </w:r>
      <w:r w:rsidR="009B0813" w:rsidRPr="0029101D">
        <w:rPr>
          <w:rFonts w:ascii="Traditional Arabic" w:hAnsi="Traditional Arabic" w:cs="Traditional Arabic" w:hint="cs"/>
          <w:rtl/>
          <w:lang w:bidi="fa-IR"/>
        </w:rPr>
        <w:t xml:space="preserve"> پس مقدار دلالت اجماع با روايات يكى است.</w:t>
      </w:r>
    </w:p>
    <w:p w:rsidR="009B0813" w:rsidRPr="0029101D" w:rsidRDefault="00203196" w:rsidP="0029101D">
      <w:pPr>
        <w:rPr>
          <w:rFonts w:ascii="Traditional Arabic" w:hAnsi="Traditional Arabic" w:cs="Traditional Arabic"/>
          <w:lang w:bidi="fa-IR"/>
        </w:rPr>
      </w:pPr>
      <w:r w:rsidRPr="0029101D">
        <w:rPr>
          <w:rFonts w:ascii="Traditional Arabic" w:hAnsi="Traditional Arabic" w:cs="Traditional Arabic" w:hint="cs"/>
          <w:rtl/>
          <w:lang w:bidi="fa-IR"/>
        </w:rPr>
        <w:t>مرحوم مظفر</w:t>
      </w:r>
      <w:r w:rsidR="009B0813" w:rsidRPr="0029101D">
        <w:rPr>
          <w:rFonts w:ascii="Traditional Arabic" w:hAnsi="Traditional Arabic" w:cs="Traditional Arabic" w:hint="cs"/>
          <w:rtl/>
          <w:lang w:bidi="fa-IR"/>
        </w:rPr>
        <w:t xml:space="preserve"> در اين مقام با شيخ انصارى هم‏عقيده بوده و </w:t>
      </w:r>
      <w:r w:rsidRPr="0029101D">
        <w:rPr>
          <w:rFonts w:ascii="Traditional Arabic" w:hAnsi="Traditional Arabic" w:cs="Traditional Arabic" w:hint="cs"/>
          <w:rtl/>
          <w:lang w:bidi="fa-IR"/>
        </w:rPr>
        <w:t>آن را تایید مینمایند.</w:t>
      </w:r>
    </w:p>
    <w:sectPr w:rsidR="009B0813" w:rsidRPr="0029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24" w:rsidRDefault="00471524" w:rsidP="00FF39BC">
      <w:pPr>
        <w:spacing w:after="0" w:line="240" w:lineRule="auto"/>
      </w:pPr>
      <w:r>
        <w:separator/>
      </w:r>
    </w:p>
  </w:endnote>
  <w:endnote w:type="continuationSeparator" w:id="0">
    <w:p w:rsidR="00471524" w:rsidRDefault="00471524" w:rsidP="00FF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24" w:rsidRDefault="00471524" w:rsidP="00FF39BC">
      <w:pPr>
        <w:spacing w:after="0" w:line="240" w:lineRule="auto"/>
      </w:pPr>
      <w:r>
        <w:separator/>
      </w:r>
    </w:p>
  </w:footnote>
  <w:footnote w:type="continuationSeparator" w:id="0">
    <w:p w:rsidR="00471524" w:rsidRDefault="00471524" w:rsidP="00FF39BC">
      <w:pPr>
        <w:spacing w:after="0" w:line="240" w:lineRule="auto"/>
      </w:pPr>
      <w:r>
        <w:continuationSeparator/>
      </w:r>
    </w:p>
  </w:footnote>
  <w:footnote w:id="1">
    <w:p w:rsidR="00FF39BC" w:rsidRPr="0029101D" w:rsidRDefault="00FF39BC">
      <w:pPr>
        <w:pStyle w:val="a4"/>
        <w:rPr>
          <w:rFonts w:ascii="Traditional Arabic" w:hAnsi="Traditional Arabic" w:cs="Traditional Arabic"/>
          <w:lang w:bidi="fa-IR"/>
        </w:rPr>
      </w:pPr>
      <w:r w:rsidRPr="0029101D">
        <w:rPr>
          <w:rStyle w:val="a6"/>
          <w:rFonts w:ascii="Traditional Arabic" w:hAnsi="Traditional Arabic" w:cs="Traditional Arabic"/>
        </w:rPr>
        <w:footnoteRef/>
      </w:r>
      <w:r w:rsidRPr="0029101D">
        <w:rPr>
          <w:rFonts w:ascii="Traditional Arabic" w:hAnsi="Traditional Arabic" w:cs="Traditional Arabic"/>
          <w:rtl/>
        </w:rPr>
        <w:t xml:space="preserve"> </w:t>
      </w:r>
      <w:hyperlink r:id="rId1" w:history="1">
        <w:r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العده ج1، ص126</w:t>
        </w:r>
      </w:hyperlink>
    </w:p>
  </w:footnote>
  <w:footnote w:id="2">
    <w:p w:rsidR="005C6631" w:rsidRPr="0029101D" w:rsidRDefault="005C6631" w:rsidP="005C6631">
      <w:pPr>
        <w:pStyle w:val="a4"/>
        <w:rPr>
          <w:rFonts w:ascii="Traditional Arabic" w:hAnsi="Traditional Arabic" w:cs="Traditional Arabic"/>
        </w:rPr>
      </w:pPr>
      <w:r w:rsidRPr="0029101D">
        <w:rPr>
          <w:rStyle w:val="a6"/>
          <w:rFonts w:ascii="Traditional Arabic" w:hAnsi="Traditional Arabic" w:cs="Traditional Arabic"/>
        </w:rPr>
        <w:footnoteRef/>
      </w:r>
      <w:r w:rsidRPr="0029101D">
        <w:rPr>
          <w:rFonts w:ascii="Traditional Arabic" w:hAnsi="Traditional Arabic" w:cs="Traditional Arabic"/>
          <w:rtl/>
        </w:rPr>
        <w:t xml:space="preserve"> </w:t>
      </w:r>
      <w:r w:rsidRPr="0029101D">
        <w:rPr>
          <w:rFonts w:ascii="Traditional Arabic" w:hAnsi="Traditional Arabic" w:cs="Traditional Arabic" w:hint="cs"/>
          <w:rtl/>
          <w:lang w:bidi="fa-IR"/>
        </w:rPr>
        <w:t>و لذلك‏ ابطلنا فى‏ الشريعة الاخذ باخبار الآ</w:t>
      </w:r>
      <w:r w:rsidR="00E120EA" w:rsidRPr="0029101D">
        <w:rPr>
          <w:rFonts w:ascii="Traditional Arabic" w:hAnsi="Traditional Arabic" w:cs="Traditional Arabic" w:hint="cs"/>
          <w:rtl/>
          <w:lang w:bidi="fa-IR"/>
        </w:rPr>
        <w:t>حاد لانها لا</w:t>
      </w:r>
      <w:r w:rsidRPr="0029101D">
        <w:rPr>
          <w:rFonts w:ascii="Traditional Arabic" w:hAnsi="Traditional Arabic" w:cs="Traditional Arabic" w:hint="cs"/>
          <w:rtl/>
          <w:lang w:bidi="fa-IR"/>
        </w:rPr>
        <w:t>توجب علما و لا عملا و اوجبنا ان يكون العمل تابعا للعلم لانّ خبر الواحد اذا كان عدلا فغاية ما يقتضيه الظنّ بصدقه و من ظننت صدقه يجوز ان يكون كاذبا و ان ظننت به الصدق فان الظن لايمنع من التجويز فعاد الامر فى العمل باخبار الآحاد الى انه اقدام على ما لا يؤمن كونه فسادا و غير صلاح انتهى‏</w:t>
      </w:r>
      <w:r w:rsidRPr="0029101D">
        <w:rPr>
          <w:rFonts w:ascii="Traditional Arabic" w:hAnsi="Traditional Arabic" w:cs="Traditional Arabic" w:hint="cs"/>
          <w:rtl/>
        </w:rPr>
        <w:t>.</w:t>
      </w:r>
    </w:p>
  </w:footnote>
  <w:footnote w:id="3">
    <w:p w:rsidR="000479C6" w:rsidRPr="0029101D" w:rsidRDefault="000479C6">
      <w:pPr>
        <w:pStyle w:val="a4"/>
        <w:rPr>
          <w:rFonts w:ascii="Traditional Arabic" w:hAnsi="Traditional Arabic" w:cs="Traditional Arabic"/>
          <w:lang w:bidi="fa-IR"/>
        </w:rPr>
      </w:pPr>
      <w:r w:rsidRPr="0029101D">
        <w:rPr>
          <w:rStyle w:val="a6"/>
          <w:rFonts w:ascii="Traditional Arabic" w:hAnsi="Traditional Arabic" w:cs="Traditional Arabic"/>
        </w:rPr>
        <w:footnoteRef/>
      </w:r>
      <w:r w:rsidRPr="0029101D">
        <w:rPr>
          <w:rFonts w:ascii="Traditional Arabic" w:hAnsi="Traditional Arabic" w:cs="Traditional Arabic"/>
          <w:rtl/>
        </w:rPr>
        <w:t xml:space="preserve"> </w:t>
      </w:r>
      <w:hyperlink r:id="rId2" w:history="1">
        <w:r w:rsidR="009B0813"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فرائدالاصول، ج1، ص336</w:t>
        </w:r>
      </w:hyperlink>
    </w:p>
  </w:footnote>
  <w:footnote w:id="4">
    <w:p w:rsidR="00203196" w:rsidRPr="0029101D" w:rsidRDefault="00203196" w:rsidP="00203196">
      <w:pPr>
        <w:pStyle w:val="a4"/>
        <w:rPr>
          <w:rFonts w:ascii="Traditional Arabic" w:hAnsi="Traditional Arabic" w:cs="Traditional Arabic"/>
          <w:lang w:bidi="fa-IR"/>
        </w:rPr>
      </w:pPr>
      <w:r w:rsidRPr="0029101D">
        <w:rPr>
          <w:rStyle w:val="a6"/>
          <w:rFonts w:ascii="Traditional Arabic" w:hAnsi="Traditional Arabic" w:cs="Traditional Arabic"/>
        </w:rPr>
        <w:footnoteRef/>
      </w:r>
      <w:r w:rsidRPr="0029101D">
        <w:rPr>
          <w:rFonts w:ascii="Traditional Arabic" w:hAnsi="Traditional Arabic" w:cs="Traditional Arabic"/>
          <w:rtl/>
        </w:rPr>
        <w:t xml:space="preserve"> </w:t>
      </w:r>
      <w:hyperlink r:id="rId3" w:history="1">
        <w:r w:rsidRPr="0029101D">
          <w:rPr>
            <w:rStyle w:val="a3"/>
            <w:rFonts w:ascii="Traditional Arabic" w:hAnsi="Traditional Arabic" w:cs="Traditional Arabic"/>
            <w:rtl/>
            <w:lang w:bidi="fa-IR"/>
          </w:rPr>
          <w:t>فرائدالاصول، ج1، ص3</w:t>
        </w:r>
        <w:r w:rsidRPr="0029101D">
          <w:rPr>
            <w:rStyle w:val="a3"/>
            <w:rFonts w:ascii="Traditional Arabic" w:hAnsi="Traditional Arabic" w:cs="Traditional Arabic" w:hint="cs"/>
            <w:rtl/>
            <w:lang w:bidi="fa-IR"/>
          </w:rPr>
          <w:t>41</w:t>
        </w:r>
        <w:r w:rsidRPr="0029101D">
          <w:rPr>
            <w:rStyle w:val="a3"/>
            <w:rFonts w:ascii="Traditional Arabic" w:hAnsi="Traditional Arabic" w:cs="Traditional Arabic"/>
            <w:rtl/>
            <w:lang w:bidi="fa-IR"/>
          </w:rPr>
          <w:t>‏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87B04"/>
    <w:multiLevelType w:val="hybridMultilevel"/>
    <w:tmpl w:val="ACCEE914"/>
    <w:lvl w:ilvl="0" w:tplc="70BEC3BC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61"/>
    <w:rsid w:val="000479C6"/>
    <w:rsid w:val="0007449F"/>
    <w:rsid w:val="000C0E75"/>
    <w:rsid w:val="00152670"/>
    <w:rsid w:val="00156BC7"/>
    <w:rsid w:val="00175A00"/>
    <w:rsid w:val="001E1EF7"/>
    <w:rsid w:val="001F09F2"/>
    <w:rsid w:val="00203196"/>
    <w:rsid w:val="00236AA7"/>
    <w:rsid w:val="00237D0B"/>
    <w:rsid w:val="0029101D"/>
    <w:rsid w:val="002A7B18"/>
    <w:rsid w:val="003359B4"/>
    <w:rsid w:val="00471524"/>
    <w:rsid w:val="00557A61"/>
    <w:rsid w:val="00586F0B"/>
    <w:rsid w:val="005C6631"/>
    <w:rsid w:val="007B19F9"/>
    <w:rsid w:val="007C18DA"/>
    <w:rsid w:val="00807BE3"/>
    <w:rsid w:val="009B0813"/>
    <w:rsid w:val="009F3E5B"/>
    <w:rsid w:val="009F7C05"/>
    <w:rsid w:val="00A726C8"/>
    <w:rsid w:val="00AC617A"/>
    <w:rsid w:val="00AE7EBF"/>
    <w:rsid w:val="00B41FB3"/>
    <w:rsid w:val="00B77EF5"/>
    <w:rsid w:val="00C151E6"/>
    <w:rsid w:val="00C323B0"/>
    <w:rsid w:val="00C849B5"/>
    <w:rsid w:val="00E028B3"/>
    <w:rsid w:val="00E120EA"/>
    <w:rsid w:val="00E3420D"/>
    <w:rsid w:val="00F37E5F"/>
    <w:rsid w:val="00F92DB4"/>
    <w:rsid w:val="00F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96E550B-3981-4F2E-99FE-1242F95B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36"/>
        <w:szCs w:val="32"/>
        <w:lang w:val="en-US" w:eastAsia="en-US" w:bidi="ar-SA"/>
      </w:rPr>
    </w:rPrDefault>
    <w:pPrDefault>
      <w:pPr>
        <w:bidi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EF5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F39BC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FF39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39BC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236AA7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feqh.ir/%D8%B3%DB%8C%D8%AF_%D8%A8%D9%86_%D8%B7%D8%A7%D9%88%D9%88%D8%B3" TargetMode="External"/><Relationship Id="rId13" Type="http://schemas.openxmlformats.org/officeDocument/2006/relationships/hyperlink" Target="http://wikifeqh.ir/%D8%A7%D9%85%DB%8C%D9%86_%D8%A7%D9%84%D8%A7%D8%B3%D9%84%D8%A7%D9%85_%D8%B7%D8%A8%D8%B1%D8%B3%DB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feqh.ir/%D9%85%D8%AD%D9%85%D8%AF_%D8%A8%D9%86_%D8%AD%D8%B3%D9%86_%D8%B7%D9%88%D8%B3%DB%8C" TargetMode="External"/><Relationship Id="rId12" Type="http://schemas.openxmlformats.org/officeDocument/2006/relationships/hyperlink" Target="http://wikifeqh.ir/%D8%A7%D8%A8%D9%86%E2%80%8C%D8%A7%D8%AF%D8%B1%DB%8C%D8%B3_%D8%AD%D9%84%DB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feqh.ir/%D8%B3%DB%8C%D8%AF_%D9%85%D8%B1%D8%AA%D8%B6%DB%8C_%D8%B9%D9%84%D9%85_%D8%A7%D9%84%D9%87%D8%AF%DB%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kifeqh.ir/%D8%A7%D8%A8%D9%86%E2%80%8C%D8%A7%D8%A8%DB%8C%E2%80%8C%D8%B9%D9%85%DB%8C%D8%B1" TargetMode="External"/><Relationship Id="rId10" Type="http://schemas.openxmlformats.org/officeDocument/2006/relationships/hyperlink" Target="http://wikifeqh.ir/%D9%85%D8%AD%D9%85%D8%AF_%D8%A8%D8%A7%D9%82%D8%B1_%D9%85%D8%AC%D9%84%D8%B3%DB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feqh.ir/%D8%B9%D9%84%D8%A7%D9%85%D9%87_%D8%AD%D9%84%DB%8C" TargetMode="External"/><Relationship Id="rId14" Type="http://schemas.openxmlformats.org/officeDocument/2006/relationships/hyperlink" Target="http://wikifeqh.ir/%D8%A7%D8%B5%D8%AD%D8%A7%D8%A8_%D8%A7%D8%AC%D9%85%D8%A7%D8%B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3056/1/341/%D9%88%D8%A7%D9%84%D8%A5%D9%86%D8%B5%D8%A7%D9%81%3A_%D8%A3%D9%86%D9%87_%D9%84%D9%85_%D9%8A%D8%AD%D8%B5%D9%84" TargetMode="External"/><Relationship Id="rId2" Type="http://schemas.openxmlformats.org/officeDocument/2006/relationships/hyperlink" Target="http://lib.eshia.ir/13056/1/336/%D8%A7%D8%A8%DB%8C_%D8%B9%D9%85%DB%8C%D8%B1" TargetMode="External"/><Relationship Id="rId1" Type="http://schemas.openxmlformats.org/officeDocument/2006/relationships/hyperlink" Target="http://lib.eshia.ir/13087/1/126/%D8%A3%D9%86_%D8%AE%D8%A8%D8%B1_%D8%A7%D9%84%D9%88%D8%A7%D8%AD%D8%AF_%D8%A5%D8%B0%D8%A7_%D9%83%D8%A7%D9%86_%D9%88%D8%A7%D8%B1%D8%AF%D8%A7_%D9%85%D9%86_%D8%B7%D8%B1%D9%8A%D9%82_%D8%A3%D8%B5%D8%AD%D8%A7%D8%A8%D9%86%D8%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Ehsan Hojjatian</dc:creator>
  <cp:keywords/>
  <dc:description/>
  <cp:lastModifiedBy>Seyed Ehsan Hojjatian</cp:lastModifiedBy>
  <cp:revision>4</cp:revision>
  <dcterms:created xsi:type="dcterms:W3CDTF">2016-12-29T17:08:00Z</dcterms:created>
  <dcterms:modified xsi:type="dcterms:W3CDTF">2016-12-29T19:50:00Z</dcterms:modified>
</cp:coreProperties>
</file>